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69"/>
      </w:tblGrid>
      <w:tr w:rsidR="00A357CC" w14:paraId="431EFF1C" w14:textId="77777777" w:rsidTr="004D1275">
        <w:tc>
          <w:tcPr>
            <w:tcW w:w="4685" w:type="dxa"/>
          </w:tcPr>
          <w:p w14:paraId="431EFF1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669" w:type="dxa"/>
          </w:tcPr>
          <w:p w14:paraId="431EFF1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:rsidRPr="004D1275" w14:paraId="431EFF22" w14:textId="77777777" w:rsidTr="004D1275">
        <w:tc>
          <w:tcPr>
            <w:tcW w:w="4685" w:type="dxa"/>
          </w:tcPr>
          <w:p w14:paraId="431EFF2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669" w:type="dxa"/>
          </w:tcPr>
          <w:p w14:paraId="431EFF21" w14:textId="4E7FF682" w:rsidR="00A357CC" w:rsidRPr="004D1275" w:rsidRDefault="004D1275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pacing w:val="20"/>
                <w:sz w:val="24"/>
                <w:szCs w:val="24"/>
              </w:rPr>
            </w:pPr>
            <w:r w:rsidRPr="004D1275">
              <w:rPr>
                <w:rFonts w:ascii="Times New Roman" w:hAnsi="Times New Roman"/>
                <w:bCs/>
                <w:spacing w:val="20"/>
                <w:sz w:val="24"/>
                <w:szCs w:val="24"/>
              </w:rPr>
              <w:t>05.09.2024 nr 1-4/24/193</w:t>
            </w:r>
          </w:p>
        </w:tc>
      </w:tr>
      <w:tr w:rsidR="00A357CC" w14:paraId="431EFF25" w14:textId="77777777" w:rsidTr="004D1275">
        <w:tc>
          <w:tcPr>
            <w:tcW w:w="4685" w:type="dxa"/>
          </w:tcPr>
          <w:p w14:paraId="431EFF2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669" w:type="dxa"/>
          </w:tcPr>
          <w:p w14:paraId="431EFF2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31EFF28" w14:textId="77777777" w:rsidTr="004D1275">
        <w:tc>
          <w:tcPr>
            <w:tcW w:w="4685" w:type="dxa"/>
          </w:tcPr>
          <w:p w14:paraId="431EFF26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669" w:type="dxa"/>
          </w:tcPr>
          <w:p w14:paraId="431EFF2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431EFF29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EFF2A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431EFF2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1EFF2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431EFF2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1EFF2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31EFF3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1EFF2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31EFF3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1EFF31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91CB7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91CB7">
              <w:rPr>
                <w:rFonts w:ascii="Times New Roman" w:hAnsi="Times New Roman"/>
                <w:b/>
                <w:sz w:val="24"/>
                <w:szCs w:val="24"/>
              </w:rPr>
              <w:t xml:space="preserve">Nõusoleku andmine hanke korraldamiseks ja lepingu sõlmimiseks (välisvalgustuse hooldus)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431EFF3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31EFF3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1EFF34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31EFF37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327A2F" w14:paraId="4FE9CE0D" w14:textId="77777777" w:rsidTr="00327A2F">
              <w:tc>
                <w:tcPr>
                  <w:tcW w:w="9354" w:type="dxa"/>
                </w:tcPr>
                <w:p w14:paraId="05A484B8" w14:textId="77777777" w:rsidR="00327A2F" w:rsidRDefault="00327A2F" w:rsidP="00327A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et-EE"/>
                    </w:rPr>
                  </w:pPr>
                  <w:bookmarkStart w:id="0" w:name="_Hlk81307731"/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et-EE"/>
                    </w:rPr>
                    <w:t>Võttes aluseks kohaliku omavalitsuse üksuse finantsjuhtimise seaduse § 28 lg 3 ning Tapa Vallavolikogu 28.01.2019 määruse nr 47 “Tapa vallavara valitsemise kord” § 6 lg 1 p 2:</w:t>
                  </w:r>
                  <w:bookmarkEnd w:id="0"/>
                </w:p>
                <w:p w14:paraId="13842771" w14:textId="77777777" w:rsidR="00327A2F" w:rsidRDefault="00327A2F" w:rsidP="00327A2F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</w:tbl>
          <w:p w14:paraId="20EF936C" w14:textId="1EEFA3C1" w:rsidR="00327A2F" w:rsidRDefault="00327A2F" w:rsidP="00327A2F">
            <w:pPr>
              <w:pStyle w:val="Loendilik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7A2F">
              <w:rPr>
                <w:rFonts w:ascii="Times New Roman" w:eastAsia="Times New Roman" w:hAnsi="Times New Roman"/>
                <w:sz w:val="24"/>
                <w:szCs w:val="24"/>
              </w:rPr>
              <w:t>Anda Tapa Vallavalitsusele nõusolek korraldada riigihange Tapa valla välisvalgustuse hooldamiseks ning hankelepingu sõlmimiseks perioodiks 01.01.202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327A2F">
              <w:rPr>
                <w:rFonts w:ascii="Times New Roman" w:eastAsia="Times New Roman" w:hAnsi="Times New Roman"/>
                <w:sz w:val="24"/>
                <w:szCs w:val="24"/>
              </w:rPr>
              <w:t xml:space="preserve"> – 31.12.202</w:t>
            </w:r>
            <w:r w:rsidR="00F72E6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327A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2FC97C1B" w14:textId="4E795CF2" w:rsidR="00327A2F" w:rsidRPr="00327A2F" w:rsidRDefault="00327A2F" w:rsidP="00327A2F">
            <w:pPr>
              <w:pStyle w:val="Loendilik"/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7A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AAE8A8" w14:textId="77777777" w:rsidR="00327A2F" w:rsidRDefault="00327A2F" w:rsidP="00327A2F">
            <w:pPr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Otsus jõustub teatavakstegemisest.</w:t>
            </w:r>
          </w:p>
          <w:p w14:paraId="3AAC4E7F" w14:textId="77777777" w:rsidR="00327A2F" w:rsidRDefault="00327A2F" w:rsidP="00327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4C3354" w14:textId="4BE710AA" w:rsidR="00327A2F" w:rsidRDefault="00327A2F" w:rsidP="00327A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Käesoleva otsuse peale võib esitada Tapa Vallavolikogule vaide haldusmenetluse seaduses sätestatud korras 30 päeva jooksul arvates otsusest teadasaamise päevast või päevast, millal oleks pidanu</w:t>
            </w:r>
            <w:r w:rsidR="003341E8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  <w:p w14:paraId="431EFF36" w14:textId="78F261F2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1EFF3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431EFF40" w14:textId="77777777" w:rsidTr="00E13B6E">
        <w:tc>
          <w:tcPr>
            <w:tcW w:w="4677" w:type="dxa"/>
            <w:shd w:val="clear" w:color="auto" w:fill="auto"/>
          </w:tcPr>
          <w:p w14:paraId="431EFF3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31EFF3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31EFF3E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91CB7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91CB7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31EFF3F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91CB7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91CB7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C1D37C6" w14:textId="77777777" w:rsidR="00327A2F" w:rsidRDefault="00327A2F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CAEC95" w14:textId="77777777" w:rsidR="00020EBB" w:rsidRDefault="00020EBB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9467A" w14:textId="77777777" w:rsidR="00020EBB" w:rsidRDefault="00020EBB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431EFF4A" w14:textId="77777777" w:rsidTr="00435C14">
        <w:tc>
          <w:tcPr>
            <w:tcW w:w="9354" w:type="dxa"/>
            <w:gridSpan w:val="3"/>
          </w:tcPr>
          <w:p w14:paraId="431EFF49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431EFF4C" w14:textId="77777777" w:rsidTr="00435C14">
        <w:tc>
          <w:tcPr>
            <w:tcW w:w="9354" w:type="dxa"/>
            <w:gridSpan w:val="3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8"/>
            </w:tblGrid>
            <w:tr w:rsidR="00F72E6A" w14:paraId="3E75EA18" w14:textId="77777777" w:rsidTr="00F72E6A">
              <w:tc>
                <w:tcPr>
                  <w:tcW w:w="9138" w:type="dxa"/>
                </w:tcPr>
                <w:p w14:paraId="3B14ECE5" w14:textId="2581659A" w:rsidR="00F72E6A" w:rsidRPr="00020EBB" w:rsidRDefault="00F72E6A" w:rsidP="00020EBB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Tapa Vallavalitsus viis </w:t>
                  </w:r>
                  <w:r w:rsidR="00FE6DD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2021 aastal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läbi riigihanke „Tapa valla välisvalgustuse hooldus“.</w:t>
                  </w:r>
                  <w:r w:rsidR="00FE6DD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Hanke tulemusel sõlmiti hooldustöödeks leping perioodiks 01.01.2022- 31.12.2024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OÜ</w:t>
                  </w:r>
                  <w:r w:rsidR="00CE2C9E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-ga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Elfi Elekter maksumusega </w:t>
                  </w:r>
                  <w:r w:rsidR="000D5FB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179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 </w:t>
                  </w:r>
                  <w:r w:rsidR="000D5FB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982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,00 eurot käibemaksuga.</w:t>
                  </w:r>
                </w:p>
                <w:p w14:paraId="2CD0D50D" w14:textId="77777777" w:rsidR="00F72E6A" w:rsidRPr="00020EBB" w:rsidRDefault="00F72E6A" w:rsidP="00FE6DD0">
                  <w:pPr>
                    <w:spacing w:after="0" w:line="240" w:lineRule="auto"/>
                    <w:ind w:left="-105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54E1C4A6" w14:textId="77777777" w:rsidR="00CC1E3B" w:rsidRPr="00020EBB" w:rsidRDefault="00F72E6A" w:rsidP="00CC1E3B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Seoses hankelepingu lõppemisega on vajalik korraldada riigihange välisvalgustuse hooldustööde teostaja leidmiseks. On ettepanek sõlmida hooldustööde leping  ajaperioodiga </w:t>
                  </w:r>
                  <w:r w:rsidR="000D5FB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60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kuud (01.01.202</w:t>
                  </w:r>
                  <w:r w:rsidR="000D5FB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5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– 31.12.202</w:t>
                  </w:r>
                  <w:r w:rsidR="000D5FB0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9</w:t>
                  </w: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).</w:t>
                  </w:r>
                  <w:r w:rsidR="00CC1E3B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 xml:space="preserve"> Hankelepingu eeldatav maksumus eelnõus nimetatud perioodiks on kuni 330 000 eurot koos käibemaksuga.</w:t>
                  </w:r>
                </w:p>
                <w:p w14:paraId="655F9465" w14:textId="77777777" w:rsidR="00F72E6A" w:rsidRPr="00020EBB" w:rsidRDefault="00F72E6A" w:rsidP="00C212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1ECCCE18" w14:textId="77777777" w:rsidR="00F72E6A" w:rsidRPr="00020EBB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Hanke objektiks on Tapa valla välisvalgustusvõrgu aastaringsed hooldustööd. Tapa valla välisvalgustusvõrgu koosseisu kuuluvad kõik valla territooriumil paiknevad ja valla välisvalgustusvõrguga ühendatud valgustuskilbid, liinid ning valgustuspunktid.</w:t>
                  </w:r>
                </w:p>
                <w:p w14:paraId="320B3BAC" w14:textId="77777777" w:rsidR="00F72E6A" w:rsidRPr="00020EBB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73FCFDDD" w14:textId="77777777" w:rsidR="00F72E6A" w:rsidRPr="00020EBB" w:rsidRDefault="00F72E6A" w:rsidP="00FE6DD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 w:cs="Tahoma"/>
                      <w:sz w:val="24"/>
                      <w:szCs w:val="24"/>
                      <w:u w:val="single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u w:val="single"/>
                      <w:lang w:eastAsia="et-EE"/>
                    </w:rPr>
                    <w:t>Tapa vallas paikneb kokku</w:t>
                  </w:r>
                </w:p>
                <w:p w14:paraId="4BA3F2F5" w14:textId="409295E3" w:rsidR="00F72E6A" w:rsidRPr="00020EBB" w:rsidRDefault="00F72E6A" w:rsidP="002B787B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~2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350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tänavavalgustit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ja 53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liitumispunkti</w:t>
                  </w:r>
                </w:p>
                <w:p w14:paraId="6BAC7B97" w14:textId="47E46E89" w:rsidR="00F72E6A" w:rsidRPr="00020EBB" w:rsidRDefault="00F72E6A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Valgustusliine on kokku 105</w:t>
                  </w:r>
                  <w:r w:rsidRPr="00020EBB">
                    <w:rPr>
                      <w:rFonts w:ascii="Times New Roman" w:eastAsia="Times New Roman" w:hAnsi="Times New Roman" w:cs="Tahoma"/>
                      <w:color w:val="FF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km, millest </w:t>
                  </w:r>
                  <w:r w:rsidR="002B787B" w:rsidRPr="00020EB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⁓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2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7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,3</w:t>
                  </w:r>
                  <w:r w:rsidRPr="00020EBB">
                    <w:rPr>
                      <w:rFonts w:ascii="Times New Roman" w:eastAsia="Times New Roman" w:hAnsi="Times New Roman" w:cs="Tahoma"/>
                      <w:color w:val="FF0000"/>
                      <w:sz w:val="24"/>
                      <w:szCs w:val="24"/>
                      <w:lang w:eastAsia="et-EE"/>
                    </w:rPr>
                    <w:t xml:space="preserve"> 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km on maakaabelliin. </w:t>
                  </w:r>
                </w:p>
                <w:p w14:paraId="530E40D9" w14:textId="11C193DE" w:rsidR="00F72E6A" w:rsidRPr="00020EBB" w:rsidRDefault="00F72E6A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lastRenderedPageBreak/>
                    <w:t>- Naatriumvalgusteid ~ 83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0</w:t>
                  </w:r>
                </w:p>
                <w:p w14:paraId="64DA9B5F" w14:textId="521B46BC" w:rsidR="00F72E6A" w:rsidRPr="00020EBB" w:rsidRDefault="00F72E6A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- LED valgusteid ~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1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3</w:t>
                  </w:r>
                  <w:r w:rsidR="002B787B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50</w:t>
                  </w:r>
                </w:p>
                <w:p w14:paraId="318783D9" w14:textId="77777777" w:rsidR="00F72E6A" w:rsidRPr="00020EBB" w:rsidRDefault="00F72E6A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- Metallhaliid valgusteid ~170</w:t>
                  </w:r>
                </w:p>
                <w:p w14:paraId="4CBE5962" w14:textId="77777777" w:rsidR="002B787B" w:rsidRPr="00020EBB" w:rsidRDefault="002B787B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</w:p>
                <w:p w14:paraId="38B4BCB5" w14:textId="770A2F23" w:rsidR="002B787B" w:rsidRPr="00020EBB" w:rsidRDefault="002B787B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Üleminek LED valgustitele on toonud olulise elektri kokkuhoiu</w:t>
                  </w:r>
                  <w:r w:rsid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:</w:t>
                  </w:r>
                </w:p>
                <w:p w14:paraId="17BE9D0F" w14:textId="2897D1CF" w:rsidR="002B787B" w:rsidRPr="00020EBB" w:rsidRDefault="002B787B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Nt Tapa Ambla mnt tänavavalgustuse elektrikulu aastal 2020</w:t>
                  </w:r>
                  <w:r w:rsidR="00484D89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jaanuar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oli 3322</w:t>
                  </w:r>
                  <w:r w:rsidR="00484D89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 </w:t>
                  </w:r>
                  <w:r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 xml:space="preserve">kw/h ja </w:t>
                  </w:r>
                  <w:r w:rsidR="00484D89" w:rsidRPr="00020EBB"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2024 jaanuar 654 kw/h, Tapa Õhtu pst elektrikulu aastal 2020 jaanuar oli 5174 kw/h ja 2024 jaanuar 1000 kw/h</w:t>
                  </w:r>
                </w:p>
                <w:p w14:paraId="098307D7" w14:textId="77777777" w:rsidR="002B787B" w:rsidRPr="000D5FB0" w:rsidRDefault="002B787B" w:rsidP="002B787B">
                  <w:pPr>
                    <w:shd w:val="clear" w:color="auto" w:fill="FFFFFF" w:themeFill="background1"/>
                    <w:spacing w:after="0" w:line="240" w:lineRule="auto"/>
                    <w:ind w:left="-105"/>
                    <w:rPr>
                      <w:rFonts w:ascii="Times New Roman" w:eastAsia="Times New Roman" w:hAnsi="Times New Roman" w:cs="Tahoma"/>
                      <w:sz w:val="24"/>
                      <w:szCs w:val="24"/>
                      <w:highlight w:val="yellow"/>
                      <w:lang w:eastAsia="et-EE"/>
                    </w:rPr>
                  </w:pPr>
                </w:p>
                <w:p w14:paraId="610EEC09" w14:textId="77777777" w:rsidR="00F72E6A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148208E3" w14:textId="77777777" w:rsidR="00F72E6A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u w:val="single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u w:val="single"/>
                      <w:lang w:eastAsia="et-EE"/>
                    </w:rPr>
                    <w:t>Töövõtja ülesanded teenuse osutamisel:</w:t>
                  </w:r>
                </w:p>
                <w:p w14:paraId="5B9BAA5B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Hoidma korras tänavavalgustid ning vahetama läbipõlenud või lõhutud lambid ning utiliseerima need vastavalt kehtivatele õigusaktidele.</w:t>
                  </w:r>
                </w:p>
                <w:p w14:paraId="7DE3403E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Teostama regulaarselt kord kuus valgustite korrasoleku kontrolli.</w:t>
                  </w:r>
                </w:p>
                <w:p w14:paraId="12248CE7" w14:textId="016F19FF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Korraldama valveteenistuse rikketeadete vastuvõtmis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e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 Teavet peab olema võimalik edastada nii telefoni kui ka e-posti teel.</w:t>
                  </w:r>
                </w:p>
                <w:p w14:paraId="1F3E2F7E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Kõrvaldama rikked 24 tunni jooksul kui rike ühes või enamas tänavavalgustuse juhtimiskilbi kogu piirkonnas (välja on lülitunud kogu piirkond).</w:t>
                  </w:r>
                </w:p>
                <w:p w14:paraId="2FB0C9BE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Kõrvaldama eelmisest punktist erinevad rikked 72 tunni jooksul.</w:t>
                  </w:r>
                </w:p>
                <w:p w14:paraId="2C38571D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Teostama valgustite, liinide, postide, liinielementide ja muude tänavavalgustustarvikute korrashoidu (reguleerimine, pingutamine, õigumine, värvimine, puhastamine, kinnitamine, kontrollimine, korrastamine, hooldus), üksikute valgustite remonti ja vahetust (ei sisaldu valgustite hind).</w:t>
                  </w:r>
                </w:p>
                <w:p w14:paraId="0872CC41" w14:textId="56ED995D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Teostama lülitus-jaotusseadmete profülaktilist hooldust, vajadusel vahetama üksikuid skeemielemente nagu sulavkaitsmeid, kaitselüliteid jne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37128F7D" w14:textId="416FA84B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Tagamaks liinide ja valgustite ekspluatatsiooni ning valguse jõudmise maapinnani, lõikama puude oksi vastavalt vajadusele kaks korda aastas ja ladustama need vallavalitsuse poolt näidatud asukohta Tapa vallas (kooskõlastatult Tapa Vallahooldusega)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5E1778E3" w14:textId="2D29E976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Pidama tänavavalgustuse hooldustööde kohta päevikut ja esitama selle vallavalitsusele esimesel nõudmisel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45858B6F" w14:textId="375178FC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Määrama kord aastas (1. augustiks) vajalikud rekonstrueerimistööd ja esitama vallavalitsusele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2F42FB8A" w14:textId="1A67BF24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Hoidma vallavalitsust kursis objektide tehnilisest seisukorrast, ekspluateerimiseks vajalikest töödest ning kontrollorganite ettekirjutustest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37B8AB49" w14:textId="78A51B40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Reguleerima vajadusel valgustuse sisse- ja väljalülitamise aega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428FD44E" w14:textId="0E099C04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Osutama lepingu perioodil valla välisvalgustuse käidukorraldaja teenust</w:t>
                  </w:r>
                  <w:r w:rsidR="00CC1E3B"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.</w:t>
                  </w:r>
                </w:p>
                <w:p w14:paraId="22D08470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et-EE"/>
                    </w:rPr>
                    <w:t>Kaevelubade ja tänavavalgustusprojektide kooskõlastamine.</w:t>
                  </w:r>
                </w:p>
                <w:p w14:paraId="347576D5" w14:textId="77777777" w:rsidR="00F72E6A" w:rsidRDefault="00F72E6A" w:rsidP="00FE6DD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 w:cs="Tahoma"/>
                      <w:sz w:val="24"/>
                      <w:szCs w:val="24"/>
                      <w:lang w:eastAsia="et-EE"/>
                    </w:rPr>
                    <w:t>Jõulukaunistuste paigaldamine esimeseks advendiks ja eemaldamine jaanuari lõpuks, lampide vahetus, rikete kõrvaldamine, elektrikaunistuste sisse- ja väljalülitamine.</w:t>
                  </w:r>
                </w:p>
                <w:p w14:paraId="195CA16C" w14:textId="77777777" w:rsidR="00F72E6A" w:rsidRDefault="00F72E6A" w:rsidP="00CC1E3B">
                  <w:pPr>
                    <w:spacing w:after="0" w:line="240" w:lineRule="auto"/>
                    <w:ind w:left="-46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2C3F1E78" w14:textId="77777777" w:rsidR="00F72E6A" w:rsidRDefault="00F72E6A" w:rsidP="00CC1E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</w:p>
                <w:p w14:paraId="0C80A6D5" w14:textId="77777777" w:rsidR="00F72E6A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Õigusakti rakendamisega kaasnevad kulud kaetakse valla eelarves ja planeeritakse eelolevate perioodide eelarvetesse vastavalt riigihanke tulemusel pakutud maksumustele.</w:t>
                  </w:r>
                </w:p>
                <w:p w14:paraId="3E8CE690" w14:textId="77777777" w:rsidR="00F72E6A" w:rsidRDefault="00F72E6A" w:rsidP="00FE6DD0">
                  <w:pPr>
                    <w:spacing w:after="0" w:line="240" w:lineRule="auto"/>
                    <w:ind w:left="-105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</w:tbl>
          <w:p w14:paraId="431EFF4B" w14:textId="3E66061B" w:rsidR="00E13B6E" w:rsidRDefault="00E13B6E" w:rsidP="00FE6DD0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431EFF4E" w14:textId="77777777" w:rsidTr="00435C14">
        <w:tc>
          <w:tcPr>
            <w:tcW w:w="9354" w:type="dxa"/>
            <w:gridSpan w:val="3"/>
          </w:tcPr>
          <w:p w14:paraId="431EFF4D" w14:textId="77777777" w:rsidR="00E13B6E" w:rsidRDefault="00E13B6E" w:rsidP="00FE6DD0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A2F" w14:paraId="31F86A42" w14:textId="77777777" w:rsidTr="00DA330D">
        <w:trPr>
          <w:gridAfter w:val="1"/>
          <w:wAfter w:w="145" w:type="dxa"/>
        </w:trPr>
        <w:tc>
          <w:tcPr>
            <w:tcW w:w="3402" w:type="dxa"/>
          </w:tcPr>
          <w:p w14:paraId="01E24F3D" w14:textId="77777777" w:rsidR="00327A2F" w:rsidRDefault="00327A2F" w:rsidP="00FE6DD0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213E6079" w14:textId="77777777" w:rsidR="00327A2F" w:rsidRDefault="00327A2F" w:rsidP="00FE6DD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Kadri Kirsipuu, hankespetsialist</w:t>
            </w:r>
          </w:p>
          <w:p w14:paraId="620697BF" w14:textId="7107C77D" w:rsidR="00F72E6A" w:rsidRDefault="00F72E6A" w:rsidP="00FE6DD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Jaanus Annus, teede ja liikluse spetsialist</w:t>
            </w:r>
          </w:p>
        </w:tc>
      </w:tr>
      <w:tr w:rsidR="00327A2F" w14:paraId="7DB748C7" w14:textId="77777777" w:rsidTr="00DA330D">
        <w:trPr>
          <w:gridAfter w:val="1"/>
          <w:wAfter w:w="145" w:type="dxa"/>
        </w:trPr>
        <w:tc>
          <w:tcPr>
            <w:tcW w:w="3402" w:type="dxa"/>
          </w:tcPr>
          <w:p w14:paraId="221137BA" w14:textId="77777777" w:rsidR="00327A2F" w:rsidRDefault="00327A2F" w:rsidP="00FE6DD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09939492" w14:textId="77777777" w:rsidR="00327A2F" w:rsidRDefault="00327A2F" w:rsidP="00FE6DD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Jaanus Annus, teede ja liikluse spetsialist</w:t>
            </w:r>
          </w:p>
        </w:tc>
      </w:tr>
    </w:tbl>
    <w:p w14:paraId="7B6FECC8" w14:textId="77777777" w:rsidR="00327A2F" w:rsidRDefault="00327A2F" w:rsidP="00FE6DD0">
      <w:pPr>
        <w:spacing w:after="0" w:line="240" w:lineRule="auto"/>
        <w:ind w:left="-105"/>
        <w:rPr>
          <w:rFonts w:ascii="Times New Roman" w:hAnsi="Times New Roman"/>
          <w:sz w:val="24"/>
          <w:szCs w:val="24"/>
        </w:rPr>
      </w:pPr>
    </w:p>
    <w:p w14:paraId="431EFF55" w14:textId="77777777" w:rsidR="00E13B6E" w:rsidRDefault="00E13B6E" w:rsidP="00FE6DD0">
      <w:pPr>
        <w:spacing w:after="0" w:line="240" w:lineRule="auto"/>
        <w:ind w:left="-105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2F01D" w14:textId="77777777" w:rsidR="00D327DF" w:rsidRDefault="00D327DF" w:rsidP="0058227E">
      <w:pPr>
        <w:spacing w:after="0" w:line="240" w:lineRule="auto"/>
      </w:pPr>
      <w:r>
        <w:separator/>
      </w:r>
    </w:p>
  </w:endnote>
  <w:endnote w:type="continuationSeparator" w:id="0">
    <w:p w14:paraId="16B83987" w14:textId="77777777" w:rsidR="00D327DF" w:rsidRDefault="00D327DF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FF5D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86578" w14:textId="77777777" w:rsidR="00D327DF" w:rsidRDefault="00D327DF" w:rsidP="0058227E">
      <w:pPr>
        <w:spacing w:after="0" w:line="240" w:lineRule="auto"/>
      </w:pPr>
      <w:r>
        <w:separator/>
      </w:r>
    </w:p>
  </w:footnote>
  <w:footnote w:type="continuationSeparator" w:id="0">
    <w:p w14:paraId="4DD36453" w14:textId="77777777" w:rsidR="00D327DF" w:rsidRDefault="00D327DF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FF5A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431EFF5B" w14:textId="77777777" w:rsidR="00DB4C26" w:rsidRDefault="00DB4C26" w:rsidP="00DB4C26">
    <w:pPr>
      <w:spacing w:after="0" w:line="240" w:lineRule="auto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sz w:val="16"/>
        <w:szCs w:val="16"/>
      </w:rPr>
      <w:t>/*</w:t>
    </w:r>
    <w:r w:rsidRPr="00940B98">
      <w:rPr>
        <w:rFonts w:ascii="Times New Roman" w:hAnsi="Times New Roman"/>
        <w:b/>
        <w:color w:val="808080" w:themeColor="background1" w:themeShade="80"/>
        <w:sz w:val="16"/>
        <w:szCs w:val="16"/>
      </w:rPr>
      <w:t>ASUTUSESISESEKS KASUTAMISEKS</w:t>
    </w:r>
  </w:p>
  <w:p w14:paraId="431EFF5C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  <w:r w:rsidRPr="00DB4C26">
      <w:rPr>
        <w:rFonts w:ascii="Verdana" w:hAnsi="Verdana"/>
        <w:color w:val="FFFFFF" w:themeColor="background1"/>
        <w:sz w:val="16"/>
        <w:szCs w:val="16"/>
      </w:rPr>
      <w:t xml:space="preserve">Alus: </w:t>
    </w:r>
    <w:r w:rsidRPr="00DB4C26">
      <w:rPr>
        <w:rFonts w:ascii="Verdana" w:hAnsi="Verdana"/>
        <w:color w:val="FFFFFF" w:themeColor="background1"/>
        <w:sz w:val="16"/>
        <w:szCs w:val="16"/>
      </w:rPr>
      <w:fldChar w:fldCharType="begin"/>
    </w:r>
    <w:r w:rsidR="00791CB7">
      <w:rPr>
        <w:rFonts w:ascii="Verdana" w:hAnsi="Verdana"/>
        <w:color w:val="FFFFFF" w:themeColor="background1"/>
        <w:sz w:val="16"/>
        <w:szCs w:val="16"/>
      </w:rPr>
      <w:instrText xml:space="preserve"> delta_accessRestrictionReason  \* MERGEFORMAT</w:instrText>
    </w:r>
    <w:r w:rsidRPr="00DB4C26">
      <w:rPr>
        <w:rFonts w:ascii="Verdana" w:hAnsi="Verdana"/>
        <w:color w:val="FFFFFF" w:themeColor="background1"/>
        <w:sz w:val="16"/>
        <w:szCs w:val="16"/>
      </w:rPr>
      <w:fldChar w:fldCharType="separate"/>
    </w:r>
    <w:r w:rsidR="00791CB7">
      <w:rPr>
        <w:rFonts w:ascii="Verdana" w:hAnsi="Verdana"/>
        <w:color w:val="FFFFFF" w:themeColor="background1"/>
        <w:sz w:val="16"/>
        <w:szCs w:val="16"/>
      </w:rPr>
      <w:t>{accessRestrictionReason}</w:t>
    </w:r>
    <w:r w:rsidRPr="00DB4C26">
      <w:rPr>
        <w:rFonts w:ascii="Verdana" w:hAnsi="Verdana"/>
        <w:color w:val="FFFFFF" w:themeColor="background1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>*/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FF5E" w14:textId="67D22021" w:rsidR="0058227E" w:rsidRDefault="0058227E" w:rsidP="0058227E">
    <w:pPr>
      <w:pStyle w:val="Pis"/>
      <w:jc w:val="center"/>
      <w:rPr>
        <w:sz w:val="10"/>
        <w:szCs w:val="10"/>
      </w:rPr>
    </w:pPr>
  </w:p>
  <w:p w14:paraId="431EFF5F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431EFF6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31EFF68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FFBC93F6"/>
    <w:lvl w:ilvl="0" w:tplc="D40E97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C41ADC"/>
    <w:multiLevelType w:val="hybridMultilevel"/>
    <w:tmpl w:val="60342F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87780">
    <w:abstractNumId w:val="4"/>
  </w:num>
  <w:num w:numId="2" w16cid:durableId="327288189">
    <w:abstractNumId w:val="5"/>
  </w:num>
  <w:num w:numId="3" w16cid:durableId="141822943">
    <w:abstractNumId w:val="3"/>
  </w:num>
  <w:num w:numId="4" w16cid:durableId="1084179306">
    <w:abstractNumId w:val="0"/>
  </w:num>
  <w:num w:numId="5" w16cid:durableId="1495755187">
    <w:abstractNumId w:val="6"/>
  </w:num>
  <w:num w:numId="6" w16cid:durableId="1730224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5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82"/>
    <w:rsid w:val="000179BE"/>
    <w:rsid w:val="00020EBB"/>
    <w:rsid w:val="00030487"/>
    <w:rsid w:val="00046AD3"/>
    <w:rsid w:val="000A706D"/>
    <w:rsid w:val="000D5D82"/>
    <w:rsid w:val="000D5FB0"/>
    <w:rsid w:val="00105CE0"/>
    <w:rsid w:val="001C5D78"/>
    <w:rsid w:val="001F4B34"/>
    <w:rsid w:val="002B1191"/>
    <w:rsid w:val="002B787B"/>
    <w:rsid w:val="00327A2F"/>
    <w:rsid w:val="003341E8"/>
    <w:rsid w:val="003360B7"/>
    <w:rsid w:val="003568FE"/>
    <w:rsid w:val="00365D20"/>
    <w:rsid w:val="003B62E0"/>
    <w:rsid w:val="00413DF7"/>
    <w:rsid w:val="00435C14"/>
    <w:rsid w:val="00480C46"/>
    <w:rsid w:val="00484D89"/>
    <w:rsid w:val="0049397B"/>
    <w:rsid w:val="004A0794"/>
    <w:rsid w:val="004D1275"/>
    <w:rsid w:val="004E55FF"/>
    <w:rsid w:val="0058227E"/>
    <w:rsid w:val="005B06A1"/>
    <w:rsid w:val="00603FA4"/>
    <w:rsid w:val="00646951"/>
    <w:rsid w:val="006D59FE"/>
    <w:rsid w:val="006F7490"/>
    <w:rsid w:val="00757FCF"/>
    <w:rsid w:val="007621EB"/>
    <w:rsid w:val="00772CF5"/>
    <w:rsid w:val="00780FC0"/>
    <w:rsid w:val="00791CB7"/>
    <w:rsid w:val="007B63D2"/>
    <w:rsid w:val="007C3E85"/>
    <w:rsid w:val="007D1DEE"/>
    <w:rsid w:val="007D227C"/>
    <w:rsid w:val="008C3218"/>
    <w:rsid w:val="008D4DA5"/>
    <w:rsid w:val="008F38A1"/>
    <w:rsid w:val="00940B98"/>
    <w:rsid w:val="009428D9"/>
    <w:rsid w:val="009D2727"/>
    <w:rsid w:val="009E7F1E"/>
    <w:rsid w:val="00A357CC"/>
    <w:rsid w:val="00A43B52"/>
    <w:rsid w:val="00A70750"/>
    <w:rsid w:val="00AA1BB8"/>
    <w:rsid w:val="00AA5077"/>
    <w:rsid w:val="00AB01CD"/>
    <w:rsid w:val="00AB0B37"/>
    <w:rsid w:val="00AF1DE6"/>
    <w:rsid w:val="00B41A44"/>
    <w:rsid w:val="00B644C4"/>
    <w:rsid w:val="00B96A1D"/>
    <w:rsid w:val="00BB4F1C"/>
    <w:rsid w:val="00C212C3"/>
    <w:rsid w:val="00C27542"/>
    <w:rsid w:val="00C4063A"/>
    <w:rsid w:val="00C41710"/>
    <w:rsid w:val="00C56924"/>
    <w:rsid w:val="00CA4143"/>
    <w:rsid w:val="00CC1E3B"/>
    <w:rsid w:val="00CD0CFF"/>
    <w:rsid w:val="00CE2C9E"/>
    <w:rsid w:val="00D162F2"/>
    <w:rsid w:val="00D327DF"/>
    <w:rsid w:val="00DB4C26"/>
    <w:rsid w:val="00E13B6E"/>
    <w:rsid w:val="00E356FE"/>
    <w:rsid w:val="00E41682"/>
    <w:rsid w:val="00E54079"/>
    <w:rsid w:val="00EA2011"/>
    <w:rsid w:val="00EB548E"/>
    <w:rsid w:val="00ED16E3"/>
    <w:rsid w:val="00EE41BE"/>
    <w:rsid w:val="00EF24E3"/>
    <w:rsid w:val="00F242E0"/>
    <w:rsid w:val="00F72E6A"/>
    <w:rsid w:val="00F77BE4"/>
    <w:rsid w:val="00F9540A"/>
    <w:rsid w:val="00FC1731"/>
    <w:rsid w:val="00FC45A8"/>
    <w:rsid w:val="00FC4D7A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EFF1A"/>
  <w15:docId w15:val="{1CB9A161-490C-4580-830E-4B75AB17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C45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C45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C45A8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45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45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3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682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Estelle</dc:creator>
  <cp:lastModifiedBy>Evelin Värk</cp:lastModifiedBy>
  <cp:revision>4</cp:revision>
  <cp:lastPrinted>2019-01-28T08:15:00Z</cp:lastPrinted>
  <dcterms:created xsi:type="dcterms:W3CDTF">2024-09-06T10:17:00Z</dcterms:created>
  <dcterms:modified xsi:type="dcterms:W3CDTF">2024-09-06T10:41:00Z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